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43C1F" w:rsidRDefault="002039C2" w:rsidP="005B3971">
      <w:pPr>
        <w:pStyle w:val="Heading2"/>
        <w:jc w:val="left"/>
        <w:rPr>
          <w:sz w:val="32"/>
        </w:rPr>
      </w:pPr>
      <w:r>
        <w:rPr>
          <w:noProof/>
          <w:sz w:val="32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-114300</wp:posOffset>
            </wp:positionV>
            <wp:extent cx="1187450" cy="1005840"/>
            <wp:effectExtent l="25400" t="0" r="6350" b="0"/>
            <wp:wrapThrough wrapText="bothSides">
              <wp:wrapPolygon edited="0">
                <wp:start x="-462" y="0"/>
                <wp:lineTo x="-462" y="21273"/>
                <wp:lineTo x="21716" y="21273"/>
                <wp:lineTo x="21716" y="0"/>
                <wp:lineTo x="-462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05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971" w:rsidRDefault="005B3971" w:rsidP="005B3971">
      <w:pPr>
        <w:pStyle w:val="Heading2"/>
        <w:jc w:val="left"/>
        <w:rPr>
          <w:sz w:val="32"/>
        </w:rPr>
      </w:pPr>
      <w:r>
        <w:rPr>
          <w:sz w:val="32"/>
        </w:rPr>
        <w:t>LEAGUE OF WOMEN VOTERS OF NEW MEXICO</w:t>
      </w:r>
    </w:p>
    <w:p w:rsidR="005B3971" w:rsidRDefault="005B3971" w:rsidP="005B3971">
      <w:pPr>
        <w:rPr>
          <w:b/>
          <w:sz w:val="32"/>
        </w:rPr>
      </w:pPr>
    </w:p>
    <w:p w:rsidR="005B3971" w:rsidRDefault="005B3971" w:rsidP="005B3971">
      <w:pPr>
        <w:jc w:val="center"/>
        <w:rPr>
          <w:b/>
          <w:sz w:val="32"/>
        </w:rPr>
      </w:pPr>
      <w:r>
        <w:rPr>
          <w:b/>
          <w:sz w:val="32"/>
        </w:rPr>
        <w:t>Legislative Priorities on Fairness, Finance, &amp; Taxes 2017</w:t>
      </w:r>
    </w:p>
    <w:p w:rsidR="005B3971" w:rsidRPr="0063242B" w:rsidRDefault="005B3971" w:rsidP="005B3971">
      <w:pPr>
        <w:rPr>
          <w:b/>
        </w:rPr>
      </w:pPr>
    </w:p>
    <w:p w:rsidR="005B3971" w:rsidRPr="00EC2519" w:rsidRDefault="005B3971" w:rsidP="005B3971">
      <w:pPr>
        <w:pStyle w:val="BodyText2"/>
        <w:tabs>
          <w:tab w:val="left" w:pos="-1800"/>
        </w:tabs>
        <w:spacing w:before="240"/>
        <w:ind w:firstLine="14"/>
        <w:rPr>
          <w:b/>
          <w:i/>
          <w:sz w:val="28"/>
          <w:szCs w:val="24"/>
        </w:rPr>
      </w:pPr>
      <w:r w:rsidRPr="00EC2519">
        <w:rPr>
          <w:b/>
          <w:i/>
          <w:sz w:val="28"/>
          <w:szCs w:val="24"/>
        </w:rPr>
        <w:t xml:space="preserve">LWVNM believes that the tax system should be progressive and equitable, </w:t>
      </w:r>
      <w:r w:rsidRPr="00EC2519">
        <w:rPr>
          <w:b/>
          <w:i/>
          <w:color w:val="000000"/>
          <w:sz w:val="28"/>
          <w:szCs w:val="24"/>
          <w:lang/>
        </w:rPr>
        <w:t xml:space="preserve">taking into consideration relevant differences in annual income. The tax system should generate adequate revenues to meet essential needs. </w:t>
      </w:r>
      <w:r w:rsidRPr="00EC2519">
        <w:rPr>
          <w:b/>
          <w:i/>
          <w:sz w:val="28"/>
          <w:szCs w:val="24"/>
        </w:rPr>
        <w:t xml:space="preserve">Also, LWVNM believes that the Legislature should consider new progressive revenue generators. </w:t>
      </w:r>
      <w:r w:rsidRPr="00EC2519">
        <w:rPr>
          <w:b/>
          <w:i/>
          <w:sz w:val="28"/>
          <w:szCs w:val="24"/>
        </w:rPr>
        <w:br/>
      </w:r>
    </w:p>
    <w:p w:rsidR="005B3971" w:rsidRDefault="005B3971" w:rsidP="005B3971">
      <w:pPr>
        <w:rPr>
          <w:b/>
          <w:i/>
          <w:sz w:val="24"/>
          <w:szCs w:val="24"/>
        </w:rPr>
      </w:pPr>
      <w:r w:rsidRPr="00EC2519">
        <w:rPr>
          <w:b/>
          <w:i/>
          <w:sz w:val="24"/>
          <w:szCs w:val="24"/>
        </w:rPr>
        <w:t>LWVNM supports</w:t>
      </w:r>
    </w:p>
    <w:p w:rsidR="005B3971" w:rsidRPr="00A241DD" w:rsidRDefault="005B3971" w:rsidP="005B3971">
      <w:pPr>
        <w:numPr>
          <w:ilvl w:val="0"/>
          <w:numId w:val="12"/>
        </w:numPr>
        <w:rPr>
          <w:b/>
          <w:i/>
          <w:sz w:val="24"/>
          <w:szCs w:val="24"/>
        </w:rPr>
      </w:pPr>
      <w:r w:rsidRPr="00A241DD">
        <w:rPr>
          <w:sz w:val="24"/>
          <w:szCs w:val="24"/>
        </w:rPr>
        <w:t xml:space="preserve">raising the tax rates on higher incomes and increasing the capital gains tax; </w:t>
      </w:r>
    </w:p>
    <w:p w:rsidR="005B3971" w:rsidRPr="00A241DD" w:rsidRDefault="005B3971" w:rsidP="005B3971">
      <w:pPr>
        <w:pStyle w:val="NormalWeb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bookmarkStart w:id="0" w:name="livingwage"/>
      <w:r w:rsidRPr="00A241DD">
        <w:rPr>
          <w:color w:val="000000"/>
        </w:rPr>
        <w:t xml:space="preserve">the passage by the state legislature of a minimum wage law tied to the cost of living; and </w:t>
      </w:r>
    </w:p>
    <w:p w:rsidR="005B3971" w:rsidRPr="005237C9" w:rsidRDefault="005B3971" w:rsidP="005B3971">
      <w:pPr>
        <w:numPr>
          <w:ilvl w:val="0"/>
          <w:numId w:val="12"/>
        </w:numPr>
        <w:rPr>
          <w:sz w:val="24"/>
          <w:szCs w:val="24"/>
        </w:rPr>
      </w:pPr>
      <w:r w:rsidRPr="00A241DD">
        <w:rPr>
          <w:color w:val="000000"/>
          <w:sz w:val="24"/>
        </w:rPr>
        <w:t>the passage of minimum wage ordinances by local governments, if they perceive a need.</w:t>
      </w:r>
      <w:bookmarkEnd w:id="0"/>
      <w:r w:rsidRPr="00A241DD">
        <w:rPr>
          <w:sz w:val="24"/>
          <w:szCs w:val="24"/>
        </w:rPr>
        <w:t xml:space="preserve"> </w:t>
      </w:r>
    </w:p>
    <w:p w:rsidR="005B3971" w:rsidRPr="005237C9" w:rsidRDefault="005B3971" w:rsidP="005B3971">
      <w:pPr>
        <w:rPr>
          <w:sz w:val="24"/>
          <w:szCs w:val="24"/>
        </w:rPr>
      </w:pPr>
      <w:r w:rsidRPr="00A241DD">
        <w:rPr>
          <w:b/>
          <w:i/>
          <w:sz w:val="24"/>
          <w:szCs w:val="24"/>
        </w:rPr>
        <w:t>LWVNM opposes</w:t>
      </w:r>
      <w:r w:rsidRPr="00C16DBD">
        <w:rPr>
          <w:sz w:val="24"/>
          <w:szCs w:val="24"/>
        </w:rPr>
        <w:t xml:space="preserve"> an increase in the Gross Receipts Tax on essential goods and services, especially food and medicine, because they would make the tax system less progressive.</w:t>
      </w:r>
    </w:p>
    <w:p w:rsidR="005B3971" w:rsidRDefault="005B3971" w:rsidP="005B3971">
      <w:pPr>
        <w:pStyle w:val="BodyText2"/>
        <w:spacing w:before="240"/>
        <w:ind w:firstLine="14"/>
        <w:jc w:val="center"/>
        <w:rPr>
          <w:b/>
        </w:rPr>
      </w:pPr>
      <w:r>
        <w:rPr>
          <w:b/>
        </w:rPr>
        <w:t>In the 201</w:t>
      </w:r>
      <w:r>
        <w:rPr>
          <w:b/>
          <w:lang w:val="en-US"/>
        </w:rPr>
        <w:t>7</w:t>
      </w:r>
      <w:r>
        <w:rPr>
          <w:b/>
        </w:rPr>
        <w:t xml:space="preserve"> Legislative Session, LWVNM </w:t>
      </w:r>
      <w:r>
        <w:rPr>
          <w:b/>
          <w:lang w:val="en-US"/>
        </w:rPr>
        <w:t>supports</w:t>
      </w:r>
      <w:r>
        <w:rPr>
          <w:b/>
        </w:rPr>
        <w:br/>
      </w:r>
    </w:p>
    <w:p w:rsidR="005B3971" w:rsidRPr="00C16DBD" w:rsidRDefault="005B3971" w:rsidP="005B3971">
      <w:pPr>
        <w:shd w:val="clear" w:color="auto" w:fill="FFFFFF"/>
        <w:spacing w:line="294" w:lineRule="atLeast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HB67</w:t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  <w:t>Representative M.</w:t>
      </w:r>
      <w:r w:rsidRPr="00C16DBD">
        <w:rPr>
          <w:b/>
          <w:color w:val="222222"/>
          <w:sz w:val="24"/>
          <w:szCs w:val="24"/>
        </w:rPr>
        <w:t xml:space="preserve"> Garcia</w:t>
      </w:r>
      <w:r w:rsidRPr="00C16DBD">
        <w:rPr>
          <w:b/>
          <w:color w:val="222222"/>
          <w:sz w:val="24"/>
          <w:szCs w:val="24"/>
        </w:rPr>
        <w:tab/>
        <w:t>Increase the Minimum Wage</w:t>
      </w:r>
      <w:r w:rsidRPr="00C16DBD">
        <w:rPr>
          <w:b/>
          <w:color w:val="222222"/>
          <w:sz w:val="24"/>
          <w:szCs w:val="24"/>
        </w:rPr>
        <w:br/>
      </w:r>
      <w:r w:rsidRPr="00C16DBD">
        <w:rPr>
          <w:color w:val="222222"/>
          <w:sz w:val="24"/>
          <w:szCs w:val="24"/>
        </w:rPr>
        <w:t>This bill gradually increases the minimum wage through 2019 and then index</w:t>
      </w:r>
      <w:r>
        <w:rPr>
          <w:color w:val="222222"/>
          <w:sz w:val="24"/>
          <w:szCs w:val="24"/>
        </w:rPr>
        <w:t>es</w:t>
      </w:r>
      <w:r w:rsidRPr="00C16DBD">
        <w:rPr>
          <w:color w:val="222222"/>
          <w:sz w:val="24"/>
          <w:szCs w:val="24"/>
        </w:rPr>
        <w:t xml:space="preserve"> it to the cost of living.  There are other minimum wage bills (HB27 a</w:t>
      </w:r>
      <w:r>
        <w:rPr>
          <w:color w:val="222222"/>
          <w:sz w:val="24"/>
          <w:szCs w:val="24"/>
        </w:rPr>
        <w:t>nd SB36) that the LWVNM approves</w:t>
      </w:r>
      <w:r w:rsidRPr="00C16DBD">
        <w:rPr>
          <w:color w:val="222222"/>
          <w:sz w:val="24"/>
          <w:szCs w:val="24"/>
        </w:rPr>
        <w:t>, but this is the one with the most support.</w:t>
      </w:r>
      <w:r w:rsidRPr="00C16DBD">
        <w:rPr>
          <w:color w:val="222222"/>
          <w:sz w:val="24"/>
          <w:szCs w:val="24"/>
        </w:rPr>
        <w:br/>
      </w:r>
    </w:p>
    <w:p w:rsidR="005B3971" w:rsidRPr="00C16DBD" w:rsidRDefault="005B3971" w:rsidP="005B3971">
      <w:pPr>
        <w:shd w:val="clear" w:color="auto" w:fill="FFFFFF"/>
        <w:spacing w:line="294" w:lineRule="atLeast"/>
        <w:rPr>
          <w:color w:val="222222"/>
          <w:sz w:val="24"/>
          <w:szCs w:val="24"/>
        </w:rPr>
      </w:pPr>
      <w:r w:rsidRPr="00C16DBD">
        <w:rPr>
          <w:b/>
          <w:color w:val="222222"/>
          <w:sz w:val="24"/>
          <w:szCs w:val="24"/>
        </w:rPr>
        <w:t>HB117</w:t>
      </w:r>
      <w:r w:rsidRPr="00C16DBD">
        <w:rPr>
          <w:b/>
          <w:color w:val="222222"/>
          <w:sz w:val="24"/>
          <w:szCs w:val="24"/>
        </w:rPr>
        <w:tab/>
      </w:r>
      <w:r w:rsidRPr="00C16DBD">
        <w:rPr>
          <w:b/>
          <w:color w:val="222222"/>
          <w:sz w:val="24"/>
          <w:szCs w:val="24"/>
        </w:rPr>
        <w:tab/>
        <w:t>Rep. Roybal Caballero</w:t>
      </w:r>
      <w:r w:rsidRPr="00C16DBD">
        <w:rPr>
          <w:b/>
          <w:color w:val="222222"/>
          <w:sz w:val="24"/>
          <w:szCs w:val="24"/>
        </w:rPr>
        <w:tab/>
        <w:t>Supplemen</w:t>
      </w:r>
      <w:r>
        <w:rPr>
          <w:b/>
          <w:color w:val="222222"/>
          <w:sz w:val="24"/>
          <w:szCs w:val="24"/>
        </w:rPr>
        <w:t>tal Income Tax</w:t>
      </w:r>
      <w:r>
        <w:rPr>
          <w:b/>
          <w:color w:val="222222"/>
          <w:sz w:val="24"/>
          <w:szCs w:val="24"/>
        </w:rPr>
        <w:br/>
        <w:t>HB201</w:t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  <w:t>Rep.</w:t>
      </w:r>
      <w:r w:rsidRPr="00C16DBD">
        <w:rPr>
          <w:b/>
          <w:color w:val="222222"/>
          <w:sz w:val="24"/>
          <w:szCs w:val="24"/>
        </w:rPr>
        <w:t xml:space="preserve"> Ely</w:t>
      </w:r>
      <w:r w:rsidRPr="00C16DBD">
        <w:rPr>
          <w:b/>
          <w:color w:val="222222"/>
          <w:sz w:val="24"/>
          <w:szCs w:val="24"/>
        </w:rPr>
        <w:tab/>
      </w:r>
      <w:r w:rsidRPr="00C16DBD">
        <w:rPr>
          <w:b/>
          <w:color w:val="222222"/>
          <w:sz w:val="24"/>
          <w:szCs w:val="24"/>
        </w:rPr>
        <w:tab/>
      </w:r>
      <w:r w:rsidRPr="00C16DBD">
        <w:rPr>
          <w:b/>
          <w:color w:val="222222"/>
          <w:sz w:val="24"/>
          <w:szCs w:val="24"/>
        </w:rPr>
        <w:tab/>
        <w:t>New Top I</w:t>
      </w:r>
      <w:r>
        <w:rPr>
          <w:b/>
          <w:color w:val="222222"/>
          <w:sz w:val="24"/>
          <w:szCs w:val="24"/>
        </w:rPr>
        <w:t>ncome Bracket</w:t>
      </w:r>
      <w:r>
        <w:rPr>
          <w:b/>
          <w:color w:val="222222"/>
          <w:sz w:val="24"/>
          <w:szCs w:val="24"/>
        </w:rPr>
        <w:br/>
        <w:t>SB50</w:t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  <w:t>Senator O’Neill</w:t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 w:rsidRPr="00C16DBD">
        <w:rPr>
          <w:b/>
          <w:color w:val="222222"/>
          <w:sz w:val="24"/>
          <w:szCs w:val="24"/>
        </w:rPr>
        <w:t>Add’l Upper Income Tax Brackets</w:t>
      </w:r>
      <w:r w:rsidRPr="00C16DBD">
        <w:rPr>
          <w:color w:val="222222"/>
          <w:sz w:val="24"/>
          <w:szCs w:val="24"/>
        </w:rPr>
        <w:br/>
        <w:t xml:space="preserve">All of these would increase the taxes </w:t>
      </w:r>
      <w:r>
        <w:rPr>
          <w:color w:val="222222"/>
          <w:sz w:val="24"/>
          <w:szCs w:val="24"/>
        </w:rPr>
        <w:t>paid by upper income earners. They</w:t>
      </w:r>
      <w:r w:rsidRPr="00C16DBD">
        <w:rPr>
          <w:color w:val="222222"/>
          <w:sz w:val="24"/>
          <w:szCs w:val="24"/>
        </w:rPr>
        <w:t xml:space="preserve"> would restore some of the tax progressivity that existed before the 2005 reduction in the personal income tax</w:t>
      </w:r>
    </w:p>
    <w:p w:rsidR="005B3971" w:rsidRDefault="005B3971" w:rsidP="005B3971">
      <w:pPr>
        <w:shd w:val="clear" w:color="auto" w:fill="FFFFFF"/>
        <w:spacing w:line="294" w:lineRule="atLeast"/>
        <w:rPr>
          <w:b/>
          <w:color w:val="222222"/>
          <w:sz w:val="24"/>
          <w:szCs w:val="24"/>
        </w:rPr>
      </w:pPr>
      <w:r w:rsidRPr="00C16DBD">
        <w:rPr>
          <w:color w:val="222222"/>
          <w:sz w:val="24"/>
          <w:szCs w:val="24"/>
        </w:rPr>
        <w:br/>
      </w:r>
      <w:r>
        <w:rPr>
          <w:b/>
          <w:color w:val="222222"/>
          <w:sz w:val="24"/>
          <w:szCs w:val="24"/>
        </w:rPr>
        <w:t>HB202</w:t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  <w:t xml:space="preserve">Rep. </w:t>
      </w:r>
      <w:r w:rsidRPr="00C16DBD">
        <w:rPr>
          <w:b/>
          <w:color w:val="222222"/>
          <w:sz w:val="24"/>
          <w:szCs w:val="24"/>
        </w:rPr>
        <w:t>Trujillo</w:t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 w:rsidRPr="00C16DBD">
        <w:rPr>
          <w:b/>
          <w:color w:val="222222"/>
          <w:sz w:val="24"/>
          <w:szCs w:val="24"/>
        </w:rPr>
        <w:tab/>
        <w:t>Tax of Business Without a Physical Presence</w:t>
      </w:r>
    </w:p>
    <w:p w:rsidR="005B3971" w:rsidRPr="005237C9" w:rsidRDefault="005B3971" w:rsidP="005B3971">
      <w:pPr>
        <w:suppressAutoHyphens w:val="0"/>
        <w:rPr>
          <w:color w:val="000000"/>
          <w:sz w:val="24"/>
          <w:szCs w:val="24"/>
          <w:shd w:val="clear" w:color="auto" w:fill="FFFFFF"/>
          <w:lang w:eastAsia="en-US"/>
        </w:rPr>
      </w:pPr>
      <w:r w:rsidRPr="00367E99">
        <w:rPr>
          <w:b/>
          <w:color w:val="000000"/>
          <w:sz w:val="24"/>
          <w:szCs w:val="24"/>
          <w:shd w:val="clear" w:color="auto" w:fill="FFFFFF"/>
          <w:lang w:eastAsia="en-US"/>
        </w:rPr>
        <w:t>SB264</w:t>
      </w:r>
      <w:r w:rsidRPr="00367E99">
        <w:rPr>
          <w:b/>
          <w:color w:val="000000"/>
          <w:sz w:val="24"/>
          <w:szCs w:val="24"/>
          <w:shd w:val="clear" w:color="auto" w:fill="FFFFFF"/>
          <w:lang w:eastAsia="en-US"/>
        </w:rPr>
        <w:tab/>
      </w:r>
      <w:r>
        <w:rPr>
          <w:b/>
          <w:color w:val="000000"/>
          <w:sz w:val="24"/>
          <w:szCs w:val="24"/>
          <w:shd w:val="clear" w:color="auto" w:fill="FFFFFF"/>
          <w:lang w:eastAsia="en-US"/>
        </w:rPr>
        <w:tab/>
      </w:r>
      <w:r w:rsidRPr="00367E99">
        <w:rPr>
          <w:b/>
          <w:color w:val="000000"/>
          <w:sz w:val="24"/>
          <w:szCs w:val="24"/>
          <w:shd w:val="clear" w:color="auto" w:fill="FFFFFF"/>
          <w:lang w:eastAsia="en-US"/>
        </w:rPr>
        <w:t>Sen. White</w:t>
      </w:r>
      <w:r w:rsidRPr="00367E99">
        <w:rPr>
          <w:b/>
          <w:color w:val="000000"/>
          <w:sz w:val="24"/>
          <w:szCs w:val="24"/>
          <w:shd w:val="clear" w:color="auto" w:fill="FFFFFF"/>
          <w:lang w:eastAsia="en-US"/>
        </w:rPr>
        <w:tab/>
        <w:t xml:space="preserve"> </w:t>
      </w:r>
      <w:r w:rsidRPr="00367E99">
        <w:rPr>
          <w:b/>
          <w:color w:val="000000"/>
          <w:sz w:val="24"/>
          <w:szCs w:val="24"/>
          <w:shd w:val="clear" w:color="auto" w:fill="FFFFFF"/>
          <w:lang w:eastAsia="en-US"/>
        </w:rPr>
        <w:tab/>
      </w:r>
      <w:r w:rsidRPr="00367E99">
        <w:rPr>
          <w:b/>
          <w:color w:val="000000"/>
          <w:sz w:val="24"/>
          <w:szCs w:val="24"/>
          <w:shd w:val="clear" w:color="auto" w:fill="FFFFFF"/>
          <w:lang w:eastAsia="en-US"/>
        </w:rPr>
        <w:tab/>
        <w:t>Taxation of Internet Sales</w:t>
      </w:r>
      <w:r w:rsidRPr="00367E99">
        <w:rPr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C16DBD">
        <w:rPr>
          <w:b/>
          <w:color w:val="222222"/>
          <w:sz w:val="24"/>
          <w:szCs w:val="24"/>
        </w:rPr>
        <w:t xml:space="preserve"> </w:t>
      </w:r>
      <w:r w:rsidRPr="00C16DBD">
        <w:rPr>
          <w:b/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t>Onl</w:t>
      </w:r>
      <w:r w:rsidRPr="00C16DBD">
        <w:rPr>
          <w:color w:val="222222"/>
          <w:sz w:val="24"/>
          <w:szCs w:val="24"/>
        </w:rPr>
        <w:t xml:space="preserve">ine purchases from companies that have a physical facility in New Mexico are assessed </w:t>
      </w:r>
      <w:r>
        <w:rPr>
          <w:color w:val="222222"/>
          <w:sz w:val="24"/>
          <w:szCs w:val="24"/>
        </w:rPr>
        <w:t>a gross receipts tax (GRT). These</w:t>
      </w:r>
      <w:r w:rsidRPr="00C16DBD">
        <w:rPr>
          <w:color w:val="222222"/>
          <w:sz w:val="24"/>
          <w:szCs w:val="24"/>
        </w:rPr>
        <w:t xml:space="preserve"> bill</w:t>
      </w:r>
      <w:r>
        <w:rPr>
          <w:color w:val="222222"/>
          <w:sz w:val="24"/>
          <w:szCs w:val="24"/>
        </w:rPr>
        <w:t>s</w:t>
      </w:r>
      <w:r w:rsidRPr="00C16DBD">
        <w:rPr>
          <w:color w:val="222222"/>
          <w:sz w:val="24"/>
          <w:szCs w:val="24"/>
        </w:rPr>
        <w:t xml:space="preserve"> would assess the GRT on those without a physical presence.</w:t>
      </w:r>
    </w:p>
    <w:p w:rsidR="005B3971" w:rsidRPr="00C16DBD" w:rsidRDefault="005B3971" w:rsidP="005B3971">
      <w:pPr>
        <w:shd w:val="clear" w:color="auto" w:fill="FFFFFF"/>
        <w:spacing w:line="294" w:lineRule="atLeast"/>
        <w:rPr>
          <w:color w:val="222222"/>
          <w:sz w:val="24"/>
          <w:szCs w:val="24"/>
        </w:rPr>
      </w:pPr>
    </w:p>
    <w:p w:rsidR="005B3971" w:rsidRPr="00C16DBD" w:rsidRDefault="005B3971" w:rsidP="005B3971">
      <w:pPr>
        <w:shd w:val="clear" w:color="auto" w:fill="FFFFFF"/>
        <w:spacing w:line="294" w:lineRule="atLeast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SB199</w:t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  <w:t>Senator J.A.</w:t>
      </w:r>
      <w:r w:rsidRPr="00C16DBD">
        <w:rPr>
          <w:b/>
          <w:color w:val="222222"/>
          <w:sz w:val="24"/>
          <w:szCs w:val="24"/>
        </w:rPr>
        <w:t xml:space="preserve"> Smith</w:t>
      </w:r>
      <w:r w:rsidRPr="00C16DBD">
        <w:rPr>
          <w:b/>
          <w:color w:val="222222"/>
          <w:sz w:val="24"/>
          <w:szCs w:val="24"/>
        </w:rPr>
        <w:tab/>
      </w:r>
      <w:r w:rsidRPr="00C16DBD">
        <w:rPr>
          <w:b/>
          <w:color w:val="222222"/>
          <w:sz w:val="24"/>
          <w:szCs w:val="24"/>
        </w:rPr>
        <w:tab/>
        <w:t>Delay Certain Tax Changes</w:t>
      </w:r>
      <w:r w:rsidRPr="00C16DBD">
        <w:rPr>
          <w:color w:val="222222"/>
          <w:sz w:val="24"/>
          <w:szCs w:val="24"/>
        </w:rPr>
        <w:br/>
        <w:t>In the 2015 session legislation was passed that reduced a number of corporate taxes. These reductions were to be phased in. This bill would delay those reductions to help meet the budget deficit.</w:t>
      </w:r>
    </w:p>
    <w:p w:rsidR="005B3971" w:rsidRPr="00C16DBD" w:rsidRDefault="005B3971" w:rsidP="005B3971">
      <w:pPr>
        <w:shd w:val="clear" w:color="auto" w:fill="FFFFFF"/>
        <w:spacing w:line="294" w:lineRule="atLeast"/>
        <w:rPr>
          <w:color w:val="222222"/>
          <w:sz w:val="24"/>
          <w:szCs w:val="24"/>
        </w:rPr>
      </w:pPr>
    </w:p>
    <w:p w:rsidR="005B3971" w:rsidRDefault="005B3971" w:rsidP="005B3971">
      <w:pPr>
        <w:shd w:val="clear" w:color="auto" w:fill="FFFFFF"/>
        <w:spacing w:line="294" w:lineRule="atLeast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HB152</w:t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  <w:t>Rep.</w:t>
      </w:r>
      <w:r w:rsidRPr="00C16DBD">
        <w:rPr>
          <w:b/>
          <w:color w:val="222222"/>
          <w:sz w:val="24"/>
          <w:szCs w:val="24"/>
        </w:rPr>
        <w:t xml:space="preserve"> Thomson</w:t>
      </w:r>
      <w:r w:rsidRPr="00C16DBD">
        <w:rPr>
          <w:b/>
          <w:color w:val="222222"/>
          <w:sz w:val="24"/>
          <w:szCs w:val="24"/>
        </w:rPr>
        <w:tab/>
      </w:r>
      <w:r w:rsidRPr="00C16DBD">
        <w:rPr>
          <w:b/>
          <w:color w:val="222222"/>
          <w:sz w:val="24"/>
          <w:szCs w:val="24"/>
        </w:rPr>
        <w:tab/>
        <w:t>Tax Expenditure Budget</w:t>
      </w:r>
      <w:r w:rsidRPr="00C16DBD">
        <w:rPr>
          <w:b/>
          <w:color w:val="222222"/>
          <w:sz w:val="24"/>
          <w:szCs w:val="24"/>
        </w:rPr>
        <w:br/>
      </w:r>
      <w:r w:rsidRPr="00C16DBD">
        <w:rPr>
          <w:color w:val="222222"/>
          <w:sz w:val="24"/>
          <w:szCs w:val="24"/>
        </w:rPr>
        <w:t xml:space="preserve">This bill would require the development of a report </w:t>
      </w:r>
      <w:r>
        <w:rPr>
          <w:color w:val="222222"/>
          <w:sz w:val="24"/>
          <w:szCs w:val="24"/>
        </w:rPr>
        <w:t xml:space="preserve">on </w:t>
      </w:r>
      <w:r w:rsidRPr="00C16DBD">
        <w:rPr>
          <w:color w:val="222222"/>
          <w:sz w:val="24"/>
          <w:szCs w:val="24"/>
        </w:rPr>
        <w:t xml:space="preserve">the cost of all the tax credits given over the years and a report on whether those tax credits have generated the benefits intended. </w:t>
      </w:r>
    </w:p>
    <w:p w:rsidR="005B3971" w:rsidRDefault="005B3971" w:rsidP="005B3971">
      <w:pPr>
        <w:shd w:val="clear" w:color="auto" w:fill="FFFFFF"/>
        <w:spacing w:line="294" w:lineRule="atLeast"/>
        <w:rPr>
          <w:color w:val="222222"/>
          <w:sz w:val="24"/>
          <w:szCs w:val="24"/>
        </w:rPr>
      </w:pPr>
    </w:p>
    <w:p w:rsidR="005B3971" w:rsidRPr="00367E99" w:rsidRDefault="005B3971" w:rsidP="005B3971">
      <w:pPr>
        <w:suppressAutoHyphens w:val="0"/>
        <w:rPr>
          <w:lang w:eastAsia="en-US"/>
        </w:rPr>
      </w:pPr>
      <w:r w:rsidRPr="00C16DBD">
        <w:rPr>
          <w:b/>
          <w:i/>
          <w:sz w:val="24"/>
          <w:szCs w:val="24"/>
        </w:rPr>
        <w:t xml:space="preserve">Contact Information: </w:t>
      </w:r>
      <w:r w:rsidRPr="00C16DBD">
        <w:rPr>
          <w:sz w:val="24"/>
          <w:szCs w:val="24"/>
        </w:rPr>
        <w:t>Richard Mason</w:t>
      </w:r>
      <w:r w:rsidRPr="00C16DBD">
        <w:rPr>
          <w:sz w:val="24"/>
          <w:szCs w:val="24"/>
        </w:rPr>
        <w:tab/>
      </w:r>
      <w:r w:rsidRPr="00C16DBD">
        <w:rPr>
          <w:sz w:val="24"/>
          <w:szCs w:val="24"/>
        </w:rPr>
        <w:tab/>
        <w:t>(505) 239-3804</w:t>
      </w:r>
      <w:r w:rsidRPr="00C16DBD">
        <w:rPr>
          <w:sz w:val="24"/>
          <w:szCs w:val="24"/>
        </w:rPr>
        <w:tab/>
      </w:r>
      <w:r w:rsidRPr="00C16DBD">
        <w:rPr>
          <w:sz w:val="24"/>
          <w:szCs w:val="24"/>
        </w:rPr>
        <w:tab/>
        <w:t>act@lwvnm.org</w:t>
      </w:r>
    </w:p>
    <w:sectPr w:rsidR="005B3971" w:rsidRPr="00367E99" w:rsidSect="005B3971">
      <w:pgSz w:w="12240" w:h="15840"/>
      <w:pgMar w:top="1008" w:right="1080" w:bottom="864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tarSymbol">
    <w:altName w:val="ヒラギノ角ゴ Pro W3"/>
    <w:charset w:val="02"/>
    <w:family w:val="auto"/>
    <w:pitch w:val="default"/>
    <w:sig w:usb0="00000000" w:usb1="00000000" w:usb2="00000000" w:usb3="00000000" w:csb0="00000000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Aria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Aria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Aria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Aria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Aria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Aria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Aria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Aria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Aria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Aria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</w:pPr>
      <w:rPr>
        <w:rFonts w:ascii="Wingdings" w:hAnsi="Wingdings" w:cs="Aria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</w:pPr>
      <w:rPr>
        <w:rFonts w:ascii="Wingdings" w:hAnsi="Wingdings" w:cs="Aria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Aria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</w:pPr>
      <w:rPr>
        <w:rFonts w:ascii="Wingdings" w:hAnsi="Wingdings" w:cs="Aria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 w:cs="Aria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Aria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</w:pPr>
      <w:rPr>
        <w:rFonts w:ascii="Wingdings" w:hAnsi="Wingdings" w:cs="Aria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</w:pPr>
      <w:rPr>
        <w:rFonts w:ascii="Wingdings" w:hAnsi="Wingdings" w:cs="Aria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Aria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</w:pPr>
      <w:rPr>
        <w:rFonts w:ascii="Wingdings" w:hAnsi="Wingdings" w:cs="Aria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</w:pPr>
      <w:rPr>
        <w:rFonts w:ascii="Wingdings" w:hAnsi="Wingdings" w:cs="Aria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Aria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</w:pPr>
      <w:rPr>
        <w:rFonts w:ascii="Wingdings" w:hAnsi="Wingdings" w:cs="Aria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 w:cs="Aria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Aria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</w:pPr>
      <w:rPr>
        <w:rFonts w:ascii="Wingdings" w:hAnsi="Wingdings" w:cs="Aria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</w:pPr>
      <w:rPr>
        <w:rFonts w:ascii="Wingdings" w:hAnsi="Wingdings" w:cs="Aria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Aria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</w:pPr>
      <w:rPr>
        <w:rFonts w:ascii="Wingdings" w:hAnsi="Wingdings" w:cs="Aria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</w:pPr>
      <w:rPr>
        <w:rFonts w:ascii="Wingdings" w:hAnsi="Wingdings" w:cs="Aria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Aria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</w:pPr>
      <w:rPr>
        <w:rFonts w:ascii="Wingdings" w:hAnsi="Wingdings" w:cs="Aria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 w:cs="Aria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Aria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</w:pPr>
      <w:rPr>
        <w:rFonts w:ascii="Wingdings" w:hAnsi="Wingdings" w:cs="Aria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</w:pPr>
      <w:rPr>
        <w:rFonts w:ascii="Wingdings" w:hAnsi="Wingdings" w:cs="Aria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Aria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</w:pPr>
      <w:rPr>
        <w:rFonts w:ascii="Wingdings" w:hAnsi="Wingdings" w:cs="Aria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</w:pPr>
      <w:rPr>
        <w:rFonts w:ascii="Wingdings" w:hAnsi="Wingdings" w:cs="Aria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Aria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</w:pPr>
      <w:rPr>
        <w:rFonts w:ascii="Wingdings" w:hAnsi="Wingdings" w:cs="Aria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 w:cs="Aria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Aria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</w:pPr>
      <w:rPr>
        <w:rFonts w:ascii="Wingdings" w:hAnsi="Wingdings" w:cs="Aria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</w:pPr>
      <w:rPr>
        <w:rFonts w:ascii="Wingdings" w:hAnsi="Wingdings" w:cs="Aria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0A562F8E"/>
    <w:multiLevelType w:val="multilevel"/>
    <w:tmpl w:val="3840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A41EC"/>
    <w:multiLevelType w:val="multilevel"/>
    <w:tmpl w:val="578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C5F6A"/>
    <w:multiLevelType w:val="hybridMultilevel"/>
    <w:tmpl w:val="865617D6"/>
    <w:lvl w:ilvl="0" w:tplc="1CA8BA4A">
      <w:start w:val="3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1C3353"/>
    <w:multiLevelType w:val="hybridMultilevel"/>
    <w:tmpl w:val="8B9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8474F"/>
    <w:multiLevelType w:val="hybridMultilevel"/>
    <w:tmpl w:val="A76ECA7E"/>
    <w:lvl w:ilvl="0" w:tplc="1CA8BA4A">
      <w:start w:val="3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DB76FE"/>
    <w:multiLevelType w:val="hybridMultilevel"/>
    <w:tmpl w:val="9894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1B697D"/>
    <w:rsid w:val="002039C2"/>
    <w:rsid w:val="005B3971"/>
    <w:rsid w:val="00C43C1F"/>
  </w:rsids>
  <m:mathPr>
    <m:mathFont m:val="Helv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DefaultParagraphFont0">
    <w:name w:val="Default Paragraph Font"/>
  </w:style>
  <w:style w:type="paragraph" w:styleId="BodyText">
    <w:name w:val="Body Text"/>
    <w:basedOn w:val="Normal"/>
    <w:pPr>
      <w:jc w:val="center"/>
    </w:pPr>
    <w:rPr>
      <w:b/>
      <w:i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rPr>
      <w:sz w:val="24"/>
      <w:lang/>
    </w:rPr>
  </w:style>
  <w:style w:type="paragraph" w:customStyle="1" w:styleId="Body">
    <w:name w:val="Body"/>
    <w:basedOn w:val="Normal"/>
    <w:rsid w:val="001B697D"/>
    <w:pPr>
      <w:suppressAutoHyphens w:val="0"/>
      <w:spacing w:before="120"/>
      <w:outlineLvl w:val="0"/>
    </w:pPr>
    <w:rPr>
      <w:sz w:val="24"/>
      <w:lang w:eastAsia="en-US"/>
    </w:rPr>
  </w:style>
  <w:style w:type="table" w:styleId="TableGrid">
    <w:name w:val="Table Grid"/>
    <w:basedOn w:val="TableNormal"/>
    <w:rsid w:val="00DB27D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130941"/>
    <w:pPr>
      <w:spacing w:before="120"/>
      <w:outlineLvl w:val="0"/>
    </w:pPr>
    <w:rPr>
      <w:rFonts w:eastAsia="ヒラギノ角ゴ Pro W3"/>
      <w:color w:val="000000"/>
      <w:sz w:val="24"/>
    </w:rPr>
  </w:style>
  <w:style w:type="paragraph" w:styleId="NormalWeb">
    <w:name w:val="Normal (Web)"/>
    <w:basedOn w:val="Normal"/>
    <w:uiPriority w:val="99"/>
    <w:rsid w:val="00983874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A47A71"/>
  </w:style>
  <w:style w:type="character" w:styleId="FollowedHyperlink">
    <w:name w:val="FollowedHyperlink"/>
    <w:rsid w:val="00D15A7A"/>
    <w:rPr>
      <w:color w:val="800080"/>
      <w:u w:val="single"/>
    </w:rPr>
  </w:style>
  <w:style w:type="character" w:customStyle="1" w:styleId="BodyText2Char">
    <w:name w:val="Body Text 2 Char"/>
    <w:link w:val="BodyText2"/>
    <w:rsid w:val="00707A64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1865</Characters>
  <Application>Microsoft Word 12.0.0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Financing Election Campaigns and Reform of Ethics</vt:lpstr>
    </vt:vector>
  </TitlesOfParts>
  <Company>xxx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Financing Election Campaigns and Reform of Ethics</dc:title>
  <dc:subject/>
  <dc:creator>Rebecca Frenkel</dc:creator>
  <cp:keywords/>
  <cp:lastModifiedBy>Barbara Calef</cp:lastModifiedBy>
  <cp:revision>2</cp:revision>
  <cp:lastPrinted>2014-01-24T02:48:00Z</cp:lastPrinted>
  <dcterms:created xsi:type="dcterms:W3CDTF">2017-02-12T16:09:00Z</dcterms:created>
  <dcterms:modified xsi:type="dcterms:W3CDTF">2017-02-12T16:09:00Z</dcterms:modified>
</cp:coreProperties>
</file>